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АДМИНИСТРАЦИЯ СЕЛЬСКОГО ПОСЕЛЕНИЯ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«ТАПТАНАЙ»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ПОСТАНОВЛЕНИЕ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«01»февраля 2019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года№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1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. Дульдурга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Об утверждении муниципальной программы «Комплексное развитие транспортной инфраструктуры сельского поселения «Таптанай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</w:rPr>
        <w:t>»н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</w:rPr>
        <w:t>а 2019 – 2023 годы»</w:t>
      </w:r>
    </w:p>
    <w:p w:rsidR="007E6AE2" w:rsidRDefault="007E6AE2" w:rsidP="007E6A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статьей 179 Бюджетного кодекса Российской Федерации, в целях обеспечения охраны жизни, здоровья граждан и их имущества, повышения гарантии их законных прав на безопасные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условия движения на дорогах, руководствуясь статьями 25, 33 Устава муниципального района «Дульдургинский район», администрация муниципального района «Дульдургинский район» </w:t>
      </w:r>
    </w:p>
    <w:p w:rsidR="007E6AE2" w:rsidRDefault="007E6AE2" w:rsidP="007E6A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E6AE2" w:rsidRDefault="007E6AE2" w:rsidP="007E6AE2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Утвердить муниципальную программу «Комплексное развитие транспортной инфраструктуры сельского поселения «Таптанай» на 2019 – 2023 годы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прилагается)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E6AE2" w:rsidRDefault="007E6AE2" w:rsidP="007E6AE2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Установить, что в ходе реализации муниципальной программы «Комплексное развитие транспортной инфраструктуры сельского поселения «Таптанай» на 2019 – 2023 годы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одлежат ежегодной корректировке мероприятия и объемы их финансирования с учетом возможностей средств бюджета района.</w:t>
      </w:r>
    </w:p>
    <w:p w:rsidR="007E6AE2" w:rsidRDefault="007E6AE2" w:rsidP="007E6AE2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Настоящее постановление вступает в силу после подписания и официального обнародования.</w:t>
      </w:r>
    </w:p>
    <w:p w:rsidR="007E6AE2" w:rsidRDefault="007E6AE2" w:rsidP="007E6A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E6AE2" w:rsidRDefault="007E6AE2" w:rsidP="007E6A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6AE2" w:rsidRDefault="007E6AE2" w:rsidP="007E6A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6AE2" w:rsidRDefault="007E6AE2" w:rsidP="007E6A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6AE2" w:rsidRDefault="007E6AE2" w:rsidP="007E6A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6AE2" w:rsidRDefault="007E6AE2" w:rsidP="007E6A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                                               Т.Э.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Лубсанова</w:t>
      </w:r>
      <w:proofErr w:type="spellEnd"/>
    </w:p>
    <w:p w:rsidR="007E6AE2" w:rsidRDefault="007E6AE2" w:rsidP="007E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E2" w:rsidRDefault="007E6AE2" w:rsidP="007E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E2" w:rsidRDefault="007E6AE2" w:rsidP="007E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E2" w:rsidRDefault="007E6AE2" w:rsidP="007E6AE2">
      <w:pPr>
        <w:spacing w:after="0" w:line="240" w:lineRule="auto"/>
        <w:rPr>
          <w:rFonts w:ascii="Times New Roman" w:hAnsi="Times New Roman"/>
        </w:rPr>
      </w:pPr>
    </w:p>
    <w:p w:rsidR="007E6AE2" w:rsidRDefault="007E6AE2" w:rsidP="007E6AE2">
      <w:pPr>
        <w:spacing w:after="0" w:line="240" w:lineRule="auto"/>
        <w:rPr>
          <w:rFonts w:ascii="Times New Roman" w:hAnsi="Times New Roman"/>
        </w:rPr>
      </w:pP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Постановлением администрации</w:t>
      </w:r>
      <w:bookmarkStart w:id="0" w:name="_GoBack"/>
      <w:bookmarkEnd w:id="0"/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«Таптанай»</w:t>
      </w: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от «01»февраля 2019 года</w:t>
      </w: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 сельского поселения «Таптанай» на 2019-2023годы»</w:t>
      </w: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Муниципальнойпрограммы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«Комплексное развитие </w:t>
      </w:r>
      <w:proofErr w:type="gramStart"/>
      <w:r>
        <w:rPr>
          <w:rFonts w:ascii="Times New Roman" w:hAnsi="Times New Roman"/>
          <w:sz w:val="28"/>
          <w:szCs w:val="28"/>
        </w:rPr>
        <w:t>транспортной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инфраструктурысельского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«Таптанай» на 2019-2023 годы»</w:t>
      </w:r>
    </w:p>
    <w:p w:rsidR="007E6AE2" w:rsidRDefault="007E6AE2" w:rsidP="007E6A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E6AE2" w:rsidTr="007E6AE2">
        <w:trPr>
          <w:trHeight w:val="100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транспортной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инфраструктурысельского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«Таптанай» на 2019-2023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– Программа)</w:t>
            </w:r>
          </w:p>
        </w:tc>
      </w:tr>
      <w:tr w:rsidR="007E6AE2" w:rsidTr="007E6AE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№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131-ФЗ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25 декабря 2015 г. N 1440 "Об утверждении требований к программам комплексного развития транспортной инфраструктуры поселений, городских округов»,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Уставсельского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«Таптанай»,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«Таптанай»</w:t>
            </w:r>
          </w:p>
        </w:tc>
      </w:tr>
      <w:tr w:rsidR="007E6AE2" w:rsidTr="007E6AE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«Таптанай»</w:t>
            </w:r>
            <w:r>
              <w:rPr>
                <w:sz w:val="28"/>
                <w:szCs w:val="28"/>
              </w:rPr>
              <w:t>, адрес 687214, Забайкальский край, Дульдургинский район, с. Таптанай,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алинина, 56</w:t>
            </w:r>
          </w:p>
        </w:tc>
      </w:tr>
      <w:tr w:rsidR="007E6AE2" w:rsidTr="007E6AE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«Таптанай»</w:t>
            </w:r>
            <w:r>
              <w:rPr>
                <w:sz w:val="28"/>
                <w:szCs w:val="28"/>
              </w:rPr>
              <w:t>, адрес 687214, Забайкальский край, Дульдургинский район, с. Таптанай, ул. Калинина,56</w:t>
            </w:r>
          </w:p>
        </w:tc>
      </w:tr>
      <w:tr w:rsidR="007E6AE2" w:rsidTr="007E6AE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сельского поселения «Таптанай»</w:t>
            </w:r>
          </w:p>
        </w:tc>
      </w:tr>
      <w:tr w:rsidR="007E6AE2" w:rsidTr="007E6AE2">
        <w:trPr>
          <w:trHeight w:val="82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«Таптанай»</w:t>
            </w:r>
          </w:p>
        </w:tc>
      </w:tr>
      <w:tr w:rsidR="007E6AE2" w:rsidTr="007E6AE2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инфраструктуры.</w:t>
            </w:r>
          </w:p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управления транспортными средствами, пешеходного и велосипедного передвижения населения.</w:t>
            </w:r>
          </w:p>
          <w:p w:rsidR="007E6AE2" w:rsidRDefault="007E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3.Безопасность, качество и эффективность транспортного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обслуживаниянаселения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юридических лиц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индивидуальныхпредпринимателей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7E6AE2" w:rsidRDefault="007E6AE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Содержание автомобильных дорог местного значения в надлежащем состоянии</w:t>
            </w:r>
          </w:p>
        </w:tc>
      </w:tr>
      <w:tr w:rsidR="007E6AE2" w:rsidTr="007E6AE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2019-2023 годы</w:t>
            </w:r>
          </w:p>
        </w:tc>
      </w:tr>
      <w:tr w:rsidR="007E6AE2" w:rsidTr="007E6AE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капитальный ремонт, ремонт,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текущее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содержаниеавтомобильных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дорог.</w:t>
            </w:r>
          </w:p>
        </w:tc>
      </w:tr>
      <w:tr w:rsidR="007E6AE2" w:rsidTr="007E6AE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7E6AE2" w:rsidRDefault="007E6AE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из бюджета сельского поселения «Таптанай».  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2019г. – 6 200,0 тыс. руб.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2020г.–6 200,0 тыс. руб.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2021г. – 6 200,0 тыс. руб.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2022г. –6 200,0 тыс. руб.  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г. - 6 200,0 тыс. руб.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уточняются при формировании бюджета на очередной финансовый год.</w:t>
            </w:r>
          </w:p>
        </w:tc>
      </w:tr>
      <w:tr w:rsidR="007E6AE2" w:rsidTr="007E6AE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7E6AE2" w:rsidRDefault="007E6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7E6AE2" w:rsidRDefault="007E6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7E6AE2" w:rsidTr="007E6AE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E6AE2" w:rsidRDefault="007E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7E6AE2" w:rsidRDefault="007E6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7E6AE2" w:rsidRDefault="007E6AE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-строительство пешеходных дорожек, установка дорожных знаков.</w:t>
            </w:r>
          </w:p>
        </w:tc>
      </w:tr>
    </w:tbl>
    <w:p w:rsidR="007E6AE2" w:rsidRDefault="007E6AE2" w:rsidP="007E6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E6AE2" w:rsidRDefault="007E6AE2" w:rsidP="007E6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E6AE2" w:rsidRDefault="007E6AE2" w:rsidP="007E6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E6AE2" w:rsidRDefault="007E6AE2" w:rsidP="007E6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E6AE2" w:rsidRDefault="007E6AE2" w:rsidP="007E6AE2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Характеристика существующего состояния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транспортнойинфраструктуры</w:t>
      </w:r>
      <w:r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поселения «Таптанай»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E6AE2" w:rsidRDefault="007E6AE2" w:rsidP="007E6AE2">
      <w:pPr>
        <w:pStyle w:val="a6"/>
        <w:shd w:val="clear" w:color="auto" w:fill="FFFFFF"/>
        <w:tabs>
          <w:tab w:val="left" w:pos="284"/>
        </w:tabs>
        <w:suppressAutoHyphens/>
        <w:spacing w:after="0" w:line="240" w:lineRule="auto"/>
        <w:ind w:left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E6AE2" w:rsidRDefault="007E6AE2" w:rsidP="007E6AE2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Социально-экономическая характеристика </w:t>
      </w:r>
      <w:r>
        <w:rPr>
          <w:rFonts w:ascii="Times New Roman" w:hAnsi="Times New Roman"/>
          <w:sz w:val="28"/>
          <w:szCs w:val="28"/>
        </w:rPr>
        <w:t>сельского поселения «Таптанай».</w:t>
      </w:r>
    </w:p>
    <w:p w:rsidR="007E6AE2" w:rsidRDefault="007E6AE2" w:rsidP="007E6A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«Таптанай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асположено в юго-восточной части Забайкальского края, в 200 километрах от краевого центра, города Читы, и в 70 километрах от поселка Агинское, центра Агинского Бурятского округа. Входит в состав Агинского Бурятского округа Забайкальского края. </w:t>
      </w:r>
    </w:p>
    <w:p w:rsidR="007E6AE2" w:rsidRDefault="007E6AE2" w:rsidP="007E6A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сельского поселения «Таптанай» – 25,0 </w:t>
      </w:r>
      <w:proofErr w:type="spellStart"/>
      <w:r>
        <w:rPr>
          <w:rFonts w:ascii="Times New Roman" w:hAnsi="Times New Roman"/>
          <w:sz w:val="28"/>
          <w:szCs w:val="28"/>
        </w:rPr>
        <w:t>тыс.кв.км.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исленность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на 01.01.2018 года –807 человек.</w:t>
      </w: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Функциональный профиль сельского поселения «Таптанай»» в настоящее время – ведение личного подсобного хозяйства, индивидуальное предпринимательство. </w:t>
      </w:r>
    </w:p>
    <w:p w:rsidR="007E6AE2" w:rsidRDefault="007E6AE2" w:rsidP="007E6AE2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ресурсы являются одним из главных факторов развития территории. Численность занятых в экономике (число работников всех организаций, распложенных на территории сельского поселения с учётом занятых индивидуально-трудовой деятельностью, а также занятых в домашнем хозяйстве, включая личное подсобное хозяйство, производством товаров и услуг для реализации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оставляет – 60 %</w:t>
      </w:r>
    </w:p>
    <w:p w:rsidR="007E6AE2" w:rsidRDefault="007E6AE2" w:rsidP="007E6AE2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работает в сфере торговли и бюджетных организациях, расположенных на территории района.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Непроизводственная сфера деятельности охватывает здравоохранение, торговлю, социальное обеспечение, образования.</w:t>
      </w:r>
    </w:p>
    <w:p w:rsidR="007E6AE2" w:rsidRDefault="007E6AE2" w:rsidP="007E6AE2">
      <w:pPr>
        <w:pStyle w:val="Default"/>
        <w:ind w:firstLine="720"/>
        <w:jc w:val="both"/>
        <w:rPr>
          <w:b/>
          <w:color w:val="FF0000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связисельского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поселения «Таптанай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существляются только автомобильным видом транспорта. Основным видом пассажирского транспорта района является автобусное и маршрутное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сообщение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ольшинство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передвижений в районе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7E6AE2" w:rsidRDefault="007E6AE2" w:rsidP="007E6A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7E6AE2" w:rsidRDefault="007E6AE2" w:rsidP="007E6AE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7E6AE2" w:rsidRDefault="007E6AE2" w:rsidP="007E6AE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-объекты трудовой деятельности;</w:t>
      </w:r>
    </w:p>
    <w:p w:rsidR="007E6AE2" w:rsidRDefault="007E6AE2" w:rsidP="007E6AE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7E6AE2" w:rsidRDefault="007E6AE2" w:rsidP="007E6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Грузовой транспорт в основном представлен автотранспортом в личных подворьях,  В основе формирования улично-дорожной сети населенного пункта лежат: основная улица, второстепенные улицы, проезды, въезды, хозяйственные проезды.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2.4. Характеристика сети дорог сельского поселения «Таптанай», параметры дорожного движения, оценка качества содержания дорог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Дорожно-транспортная сеть сельского поселения «Таптанай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 xml:space="preserve">остоит из дорог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proofErr w:type="spellStart"/>
      <w:r>
        <w:rPr>
          <w:rFonts w:ascii="Times New Roman" w:hAnsi="Times New Roman"/>
          <w:sz w:val="28"/>
          <w:szCs w:val="28"/>
        </w:rPr>
        <w:t>грунтовоепокрытие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поселение «Таптанай»</w:t>
      </w:r>
      <w:r>
        <w:rPr>
          <w:rFonts w:ascii="Times New Roman" w:hAnsi="Times New Roman"/>
          <w:bCs/>
          <w:sz w:val="28"/>
          <w:szCs w:val="28"/>
        </w:rPr>
        <w:t xml:space="preserve">обладает слаборазвитой автомобильной транспортной сетью и находится на расстоянии200 </w:t>
      </w:r>
      <w:proofErr w:type="spellStart"/>
      <w:r>
        <w:rPr>
          <w:rFonts w:ascii="Times New Roman" w:hAnsi="Times New Roman"/>
          <w:bCs/>
          <w:sz w:val="28"/>
          <w:szCs w:val="28"/>
        </w:rPr>
        <w:t>кмот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краевого центра города Чита, что создаёт оптимальные условия для перемещения сырья и готовых товаров. Отсутствие альтернативных видов транспорта предъявляет повышенные требования к автомобильным дорогам. </w:t>
      </w:r>
    </w:p>
    <w:p w:rsidR="007E6AE2" w:rsidRDefault="007E6AE2" w:rsidP="007E6A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автодорожной инфраструктуры осуществляется в основном за счет текущего содержания автодорог.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7E6AE2" w:rsidRDefault="007E6AE2" w:rsidP="007E6A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протяжённость дорожной сети сельского поселения «Таптанай</w:t>
      </w:r>
      <w:proofErr w:type="gramStart"/>
      <w:r>
        <w:rPr>
          <w:rFonts w:ascii="Times New Roman" w:hAnsi="Times New Roman"/>
          <w:bCs/>
          <w:sz w:val="28"/>
          <w:szCs w:val="28"/>
        </w:rPr>
        <w:t>»с</w:t>
      </w:r>
      <w:proofErr w:type="gramEnd"/>
      <w:r>
        <w:rPr>
          <w:rFonts w:ascii="Times New Roman" w:hAnsi="Times New Roman"/>
          <w:bCs/>
          <w:sz w:val="28"/>
          <w:szCs w:val="28"/>
        </w:rPr>
        <w:t>оставляет10,7 км. Часть автодорог требует капитального, ямочного  и текущего  ремонта. Характеристика автомобильных дорог дана в таблице 1.</w:t>
      </w:r>
    </w:p>
    <w:p w:rsidR="007E6AE2" w:rsidRDefault="007E6AE2" w:rsidP="007E6A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автомобильных дорог общего пользования местного значения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«Таптанай»</w:t>
      </w:r>
    </w:p>
    <w:p w:rsidR="007E6AE2" w:rsidRDefault="007E6AE2" w:rsidP="007E6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396"/>
        <w:gridCol w:w="2551"/>
        <w:gridCol w:w="1950"/>
      </w:tblGrid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76 125 924 1</w:t>
            </w:r>
          </w:p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 – МП - 001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ЖамсоТумунова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76 125 924 1</w:t>
            </w:r>
          </w:p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 – МП - 002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76 125 924 1</w:t>
            </w:r>
          </w:p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 – МП - 003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76 125 924 1</w:t>
            </w:r>
          </w:p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 – МП - 004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Калинина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76 125 924 1 </w:t>
            </w:r>
          </w:p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 – МП - 005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7E6AE2" w:rsidTr="007E6A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10,7</w:t>
            </w:r>
          </w:p>
        </w:tc>
      </w:tr>
    </w:tbl>
    <w:p w:rsidR="007E6AE2" w:rsidRDefault="007E6AE2" w:rsidP="007E6AE2">
      <w:pPr>
        <w:spacing w:after="0" w:line="240" w:lineRule="auto"/>
        <w:rPr>
          <w:rFonts w:eastAsia="Times New Roman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 «Таптанай», обеспеченность парковками (парковочными местами). 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2016-2018 годы отмечается рост транспортных средств, рост и уровня автомобилизации населения. Хранение транспортных средств осуществляется на придомовых территориях и авто гаражах, принадлежащих собственникам.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Передвижение по территории сельского поселения «Таптанай» осуществляется с использованием личного транспорта либо в пешем порядке. Автобусное и маршрутное движение между населенными пунктами и городом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Характеристика пешеходного и велосипедного передвижения.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Характеристика движения грузовых транспортных средств.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Транспортных организаций, осуществляющих грузовые перевозки на территории муниципального района нет.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Анализ уровня безопасности дорожного движения.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pStyle w:val="a7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E6AE2" w:rsidRDefault="007E6AE2" w:rsidP="007E6A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7E6AE2" w:rsidRDefault="007E6AE2" w:rsidP="007E6AE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7E6AE2" w:rsidTr="007E6AE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E6AE2" w:rsidTr="007E6A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E6AE2" w:rsidTr="007E6A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7E6AE2" w:rsidTr="007E6A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Учитывая сложившуюся планировочную структуру сельского поселения «Таптанай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 дорожно-транспортной сети, отсутствие дорог с </w:t>
      </w:r>
      <w:proofErr w:type="spellStart"/>
      <w:r>
        <w:rPr>
          <w:rFonts w:ascii="Times New Roman" w:hAnsi="Times New Roman"/>
          <w:sz w:val="28"/>
          <w:szCs w:val="28"/>
        </w:rPr>
        <w:t>интенсивнымдвижением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S20"/>
      </w:pPr>
      <w:r>
        <w:t xml:space="preserve">Технико-экономические показатели схемы территориального </w:t>
      </w:r>
      <w:proofErr w:type="spellStart"/>
      <w:r>
        <w:t>планированиясельского</w:t>
      </w:r>
      <w:proofErr w:type="spellEnd"/>
      <w:r>
        <w:t xml:space="preserve"> поселения «Таптанай»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1523"/>
        <w:gridCol w:w="1873"/>
        <w:gridCol w:w="1816"/>
        <w:gridCol w:w="1732"/>
      </w:tblGrid>
      <w:tr w:rsidR="007E6AE2" w:rsidTr="007E6AE2">
        <w:trPr>
          <w:trHeight w:hRule="exact" w:val="1035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ремонта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 (год)</w:t>
            </w:r>
          </w:p>
        </w:tc>
      </w:tr>
      <w:tr w:rsidR="007E6AE2" w:rsidTr="007E6AE2">
        <w:trPr>
          <w:trHeight w:val="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7E6AE2" w:rsidTr="007E6AE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jc w:val="center"/>
            </w:pPr>
            <w:r>
              <w:t>10,7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0,397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</w:tr>
      <w:tr w:rsidR="007E6AE2" w:rsidTr="007E6AE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0,397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</w:tr>
      <w:tr w:rsidR="007E6AE2" w:rsidTr="007E6AE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регионального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E6AE2" w:rsidRDefault="007E6AE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7E6AE2" w:rsidTr="007E6AE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документами, </w:t>
      </w:r>
      <w:proofErr w:type="spellStart"/>
      <w:r>
        <w:rPr>
          <w:rFonts w:ascii="Times New Roman" w:hAnsi="Times New Roman"/>
          <w:sz w:val="28"/>
          <w:szCs w:val="28"/>
        </w:rPr>
        <w:t>определяющимипорядок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и развития транспортной инфраструктуры, являются: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Градостроительный кодекс РФ;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от 10.12.1995г. №196-ФЗ  «О безопасности дорожного движения»;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23.12.2017 г.) «О правилах дорожного движения»;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7E6AE2" w:rsidRDefault="007E6AE2" w:rsidP="007E6AE2">
      <w:pPr>
        <w:pStyle w:val="S20"/>
        <w:jc w:val="both"/>
        <w:rPr>
          <w:bCs/>
        </w:rPr>
      </w:pPr>
      <w:r>
        <w:t xml:space="preserve">6. Схема территориального </w:t>
      </w:r>
      <w:proofErr w:type="spellStart"/>
      <w:r>
        <w:t>планированиямуниципального</w:t>
      </w:r>
      <w:proofErr w:type="spellEnd"/>
      <w:r>
        <w:t xml:space="preserve"> района Дульдургинский район», утверждена решением </w:t>
      </w:r>
      <w:proofErr w:type="spellStart"/>
      <w:r>
        <w:t>Советамуниципального</w:t>
      </w:r>
      <w:proofErr w:type="spellEnd"/>
      <w:r>
        <w:t xml:space="preserve"> района «Дульдургинский район</w:t>
      </w:r>
      <w:proofErr w:type="gramStart"/>
      <w:r>
        <w:t>»</w:t>
      </w:r>
      <w:r>
        <w:rPr>
          <w:lang w:eastAsia="ru-RU"/>
        </w:rPr>
        <w:t>о</w:t>
      </w:r>
      <w:proofErr w:type="gramEnd"/>
      <w:r>
        <w:rPr>
          <w:lang w:eastAsia="ru-RU"/>
        </w:rPr>
        <w:t>т 31 мая 2011 года № 426.</w:t>
      </w:r>
      <w:r>
        <w:t xml:space="preserve">Нормативно-правовая база </w:t>
      </w:r>
      <w:r>
        <w:lastRenderedPageBreak/>
        <w:t>необходимая для функционирования и развития транспортной инфраструктуры сформирована.</w:t>
      </w:r>
    </w:p>
    <w:p w:rsidR="007E6AE2" w:rsidRDefault="007E6AE2" w:rsidP="007E6AE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autoSpaceDE/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Прогноз транспортного спроса, изменение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E6AE2" w:rsidRDefault="007E6AE2" w:rsidP="007E6AE2">
      <w:pPr>
        <w:pStyle w:val="ConsPlusNormal0"/>
        <w:widowControl/>
        <w:tabs>
          <w:tab w:val="left" w:pos="7755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Прогноз социально-экономического и градостроительного развития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6AE2" w:rsidRDefault="007E6AE2" w:rsidP="007E6AE2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E6AE2" w:rsidRDefault="007E6AE2" w:rsidP="007E6A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несколько лет на территории наблюдалась естественная убыль населения.</w:t>
      </w: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Из-за нехватки рабочих мест часть трудоспособного населения в поселении, работают вахтовым методом или, являясь временно </w:t>
      </w:r>
      <w:proofErr w:type="spellStart"/>
      <w:r>
        <w:rPr>
          <w:rFonts w:ascii="Times New Roman" w:hAnsi="Times New Roman"/>
          <w:sz w:val="28"/>
          <w:szCs w:val="28"/>
        </w:rPr>
        <w:t>безработными,ведут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личное подсобное </w:t>
      </w:r>
      <w:proofErr w:type="spellStart"/>
      <w:r>
        <w:rPr>
          <w:rFonts w:ascii="Times New Roman" w:hAnsi="Times New Roman"/>
          <w:sz w:val="28"/>
          <w:szCs w:val="28"/>
        </w:rPr>
        <w:t>хозяйство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илищный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сельского поселения «Таптанай»составляет 14,4тыс. кв. м, обеспеченность жильем – </w:t>
      </w:r>
      <w:r>
        <w:rPr>
          <w:rFonts w:ascii="Times New Roman" w:hAnsi="Times New Roman"/>
          <w:color w:val="000000" w:themeColor="text1"/>
          <w:sz w:val="28"/>
          <w:szCs w:val="28"/>
        </w:rPr>
        <w:t>15,9 м²</w:t>
      </w:r>
      <w:r>
        <w:rPr>
          <w:rFonts w:ascii="Times New Roman" w:hAnsi="Times New Roman"/>
          <w:sz w:val="28"/>
          <w:szCs w:val="28"/>
        </w:rPr>
        <w:t xml:space="preserve"> общей площади на одного жителя. Жилищный фонд в основном имеет удовлетворительное состояние.</w:t>
      </w: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большего числа нормативных критериев (обеспеченность школой, детским дошкольным учреждением, инженерными сетями, дорогами и др.) наиболее приоритетным является обеспеченность жителей жильём, состоянием дорог.</w:t>
      </w:r>
    </w:p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сельского поселения «Таптанай»»</w:t>
      </w:r>
    </w:p>
    <w:tbl>
      <w:tblPr>
        <w:tblW w:w="102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1"/>
        <w:gridCol w:w="5069"/>
        <w:gridCol w:w="1538"/>
        <w:gridCol w:w="1538"/>
        <w:gridCol w:w="1269"/>
      </w:tblGrid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AE2" w:rsidRDefault="007E6AE2">
            <w:pPr>
              <w:pStyle w:val="WW-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7E6AE2" w:rsidTr="007E6AE2">
        <w:trPr>
          <w:trHeight w:val="21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застройки индивидуальными жилыми домами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объектов общественно-делового назначения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Территории, связанные с захоронениями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snapToGrid w:val="0"/>
              <w:spacing w:after="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AE2" w:rsidTr="007E6AE2">
        <w:trPr>
          <w:trHeight w:val="5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плотность населения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искусства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Учреждения, предприятия и организации связи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AE2" w:rsidTr="007E6AE2">
        <w:trPr>
          <w:trHeight w:val="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протяженность автомобильных дорог сельского поселения «Таптанай»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AE2" w:rsidRDefault="007E6AE2">
            <w:pPr>
              <w:tabs>
                <w:tab w:val="center" w:pos="1264"/>
              </w:tabs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AE2" w:rsidRDefault="007E6AE2">
            <w:pPr>
              <w:tabs>
                <w:tab w:val="center" w:pos="1264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E2" w:rsidRDefault="007E6AE2">
            <w:pPr>
              <w:pStyle w:val="WW-"/>
              <w:snapToGri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</w:tbl>
    <w:p w:rsidR="007E6AE2" w:rsidRDefault="007E6AE2" w:rsidP="007E6AE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района. 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Прогноз развития транспортной инфраструктуры по видам транспорта.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. Транспортная связь с районным, краевым центром и населенными пунктами будет осуществляться общественным транспортом (автобусное и маршрутное сообщение), внутри населенных пунктов личным транспортом и пешеходное сообщение. 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Прогноз развития дорожной сети поселения.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соответствующей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7E6AE2" w:rsidRDefault="007E6AE2" w:rsidP="007E6AE2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Прогноз показателей безопасности дорожного движения. </w:t>
      </w:r>
    </w:p>
    <w:p w:rsidR="007E6AE2" w:rsidRDefault="007E6AE2" w:rsidP="007E6AE2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7E6AE2" w:rsidRDefault="007E6AE2" w:rsidP="007E6AE2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Факторами, влияющими на снижение аварийности, станут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7E6AE2" w:rsidRDefault="007E6AE2" w:rsidP="007E6AE2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Программы, не предполагаются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proofErr w:type="spellStart"/>
      <w:r>
        <w:rPr>
          <w:rFonts w:ascii="Times New Roman" w:hAnsi="Times New Roman"/>
          <w:sz w:val="28"/>
          <w:szCs w:val="28"/>
        </w:rPr>
        <w:t>усилится</w:t>
      </w:r>
      <w:r>
        <w:rPr>
          <w:rFonts w:ascii="Times New Roman" w:hAnsi="Times New Roman"/>
          <w:iCs/>
          <w:sz w:val="28"/>
          <w:szCs w:val="28"/>
        </w:rPr>
        <w:t>загрязнение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атмосферы</w:t>
      </w:r>
      <w:r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</w:t>
      </w:r>
    </w:p>
    <w:p w:rsidR="007E6AE2" w:rsidRDefault="007E6AE2" w:rsidP="007E6AE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транспортнойинфраструктуры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подвержены природному воздействию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</w:t>
      </w:r>
      <w:proofErr w:type="spellStart"/>
      <w:r>
        <w:rPr>
          <w:rFonts w:ascii="Times New Roman" w:hAnsi="Times New Roman"/>
          <w:sz w:val="28"/>
          <w:szCs w:val="28"/>
        </w:rPr>
        <w:t>содержанию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емонту</w:t>
      </w:r>
      <w:proofErr w:type="spellEnd"/>
      <w:r>
        <w:rPr>
          <w:rFonts w:ascii="Times New Roman" w:hAnsi="Times New Roman"/>
          <w:sz w:val="28"/>
          <w:szCs w:val="28"/>
        </w:rPr>
        <w:t>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ремонта дорог.</w:t>
      </w: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numPr>
          <w:ilvl w:val="0"/>
          <w:numId w:val="3"/>
        </w:numPr>
        <w:autoSpaceDE/>
        <w:autoSpaceDN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7E6AE2" w:rsidRDefault="007E6AE2" w:rsidP="007E6AE2">
      <w:pPr>
        <w:pStyle w:val="ConsPlusNormal0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7E6AE2" w:rsidRDefault="007E6AE2" w:rsidP="007E6AE2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5.2.Мероприятия по развитию транспортной инфраструктуры муниципального района.</w:t>
      </w:r>
    </w:p>
    <w:p w:rsidR="007E6AE2" w:rsidRDefault="007E6AE2" w:rsidP="007E6AE2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качественного уровня дорожной сети муниципального района, снижения уровня аварийности, связанной с состоянием дорожного покрытия, предлагается в период действия Программы реализовать следующий комплекс мероприятий по развитию транспортной инфраструктуры муниципального района.</w:t>
      </w:r>
    </w:p>
    <w:p w:rsidR="007E6AE2" w:rsidRDefault="007E6AE2" w:rsidP="007E6AE2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актуальности.</w:t>
      </w:r>
    </w:p>
    <w:p w:rsidR="007E6AE2" w:rsidRDefault="007E6AE2" w:rsidP="007E6AE2">
      <w:pPr>
        <w:pStyle w:val="a6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7E6AE2" w:rsidRDefault="007E6AE2" w:rsidP="007E6AE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Финансированиемероприятий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из бюджета муниципального района «Дульдургинский район».</w:t>
      </w:r>
    </w:p>
    <w:p w:rsidR="007E6AE2" w:rsidRDefault="007E6AE2" w:rsidP="007E6AE2">
      <w:pPr>
        <w:pStyle w:val="a6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pStyle w:val="ConsPlusNormal0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bookmarkEnd w:id="1"/>
    <w:p w:rsidR="007E6AE2" w:rsidRDefault="007E6AE2" w:rsidP="007E6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7E6AE2">
          <w:pgSz w:w="11906" w:h="16838"/>
          <w:pgMar w:top="1134" w:right="567" w:bottom="1134" w:left="1134" w:header="709" w:footer="431" w:gutter="0"/>
          <w:cols w:space="720"/>
        </w:sectPr>
      </w:pP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E6AE2" w:rsidRDefault="007E6AE2" w:rsidP="007E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Программе</w:t>
      </w:r>
    </w:p>
    <w:p w:rsidR="007E6AE2" w:rsidRDefault="007E6AE2" w:rsidP="007E6A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ПРОГРАММНЫХ МЕРОПРИЯТИЙ</w:t>
      </w: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642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559"/>
        <w:gridCol w:w="1843"/>
        <w:gridCol w:w="1842"/>
        <w:gridCol w:w="1843"/>
        <w:gridCol w:w="1559"/>
        <w:gridCol w:w="1985"/>
      </w:tblGrid>
      <w:tr w:rsidR="007E6AE2" w:rsidTr="007E6AE2">
        <w:trPr>
          <w:trHeight w:val="1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</w:t>
            </w:r>
          </w:p>
        </w:tc>
      </w:tr>
      <w:tr w:rsidR="007E6AE2" w:rsidTr="007E6AE2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осуществление комплекса мероприятий по  безопасности  дорожного движения, решаемых в комплексе с разработкой документации по  планировке 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E6AE2" w:rsidTr="007E6AE2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 дорожных  знаков и указателей на улицах населённых 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6AE2" w:rsidTr="007E6AE2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ремонт,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7E6AE2" w:rsidTr="007E6AE2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 местного значения муниципального образования </w:t>
            </w:r>
          </w:p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7E6AE2" w:rsidTr="007E6AE2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2" w:rsidRDefault="007E6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2" w:rsidRDefault="007E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6200,0</w:t>
            </w:r>
          </w:p>
        </w:tc>
      </w:tr>
    </w:tbl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6AE2" w:rsidRDefault="007E6AE2" w:rsidP="007E6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7E6AE2">
          <w:pgSz w:w="16838" w:h="11906" w:orient="landscape"/>
          <w:pgMar w:top="1134" w:right="536" w:bottom="851" w:left="425" w:header="709" w:footer="431" w:gutter="0"/>
          <w:cols w:space="720"/>
        </w:sectPr>
      </w:pPr>
    </w:p>
    <w:p w:rsidR="007E6AE2" w:rsidRDefault="007E6AE2" w:rsidP="007E6A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Общая потребность в капитальных вложениях по сельскому поселению «Таптанай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оставляет 31 000,0 тыс</w:t>
      </w:r>
      <w:r>
        <w:rPr>
          <w:rFonts w:ascii="Times New Roman" w:hAnsi="Times New Roman"/>
          <w:color w:val="000000"/>
          <w:sz w:val="28"/>
          <w:szCs w:val="28"/>
        </w:rPr>
        <w:t>. рублей.</w:t>
      </w:r>
    </w:p>
    <w:p w:rsidR="007E6AE2" w:rsidRDefault="007E6AE2" w:rsidP="007E6AE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Конкретные мероприятия программы и объемы ее финансирования могут уточняться ежегодно на соответствующий финансовый год.</w:t>
      </w:r>
    </w:p>
    <w:p w:rsidR="007E6AE2" w:rsidRDefault="007E6AE2" w:rsidP="007E6AE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E6AE2" w:rsidRDefault="007E6AE2" w:rsidP="007E6A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Сроки и этапы реализации программы.</w:t>
      </w:r>
    </w:p>
    <w:p w:rsidR="007E6AE2" w:rsidRDefault="007E6AE2" w:rsidP="007E6AE2">
      <w:pPr>
        <w:pStyle w:val="ConsPlusNormal0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2019-2023 года.</w:t>
      </w:r>
    </w:p>
    <w:p w:rsidR="007E6AE2" w:rsidRDefault="007E6AE2" w:rsidP="007E6AE2">
      <w:pPr>
        <w:pStyle w:val="ConsPlusNormal0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будет осуществляться весь период.</w:t>
      </w:r>
    </w:p>
    <w:p w:rsidR="007E6AE2" w:rsidRDefault="007E6AE2" w:rsidP="007E6AE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7E6AE2" w:rsidRDefault="007E6AE2" w:rsidP="007E6A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7E6AE2" w:rsidRDefault="007E6AE2" w:rsidP="007E6A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7E6AE2" w:rsidRDefault="007E6AE2" w:rsidP="007E6A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Механизм реализации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7E6AE2" w:rsidRDefault="007E6AE2" w:rsidP="007E6A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 «Таптанай»,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E6AE2" w:rsidRDefault="007E6AE2" w:rsidP="007E6A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могут быть пересмотрены Администрацией сельского поселения «Таптанай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изменения сроков реализации и мероприятий Программы.</w:t>
      </w:r>
    </w:p>
    <w:p w:rsidR="007E6AE2" w:rsidRDefault="007E6AE2" w:rsidP="007E6AE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AE2" w:rsidRDefault="007E6AE2" w:rsidP="007E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7E6AE2" w:rsidRDefault="007E6AE2" w:rsidP="007E6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784" w:rsidRDefault="00153784"/>
    <w:sectPr w:rsidR="001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E8F"/>
    <w:multiLevelType w:val="multilevel"/>
    <w:tmpl w:val="0046E74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B173B"/>
    <w:multiLevelType w:val="hybridMultilevel"/>
    <w:tmpl w:val="ABDC8716"/>
    <w:lvl w:ilvl="0" w:tplc="4C7C9F96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E6AE2"/>
    <w:rsid w:val="00153784"/>
    <w:rsid w:val="007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6A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E6A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E6AE2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ConsPlusNormal">
    <w:name w:val="ConsPlusNormal Знак"/>
    <w:link w:val="ConsPlusNormal0"/>
    <w:locked/>
    <w:rsid w:val="007E6AE2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6A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E6AE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E6AE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7E6A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20">
    <w:name w:val="S_Заголовок 2"/>
    <w:basedOn w:val="2"/>
    <w:link w:val="S2"/>
    <w:autoRedefine/>
    <w:rsid w:val="007E6AE2"/>
    <w:pPr>
      <w:keepNext w:val="0"/>
      <w:keepLines w:val="0"/>
      <w:spacing w:before="0" w:line="240" w:lineRule="auto"/>
      <w:ind w:firstLine="709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ar-SA"/>
    </w:rPr>
  </w:style>
  <w:style w:type="paragraph" w:customStyle="1" w:styleId="a7">
    <w:name w:val="основной текст"/>
    <w:basedOn w:val="a"/>
    <w:uiPriority w:val="99"/>
    <w:rsid w:val="007E6AE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WW-">
    <w:name w:val="WW-Текст"/>
    <w:basedOn w:val="a"/>
    <w:uiPriority w:val="99"/>
    <w:rsid w:val="007E6AE2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7E6AE2"/>
  </w:style>
  <w:style w:type="character" w:customStyle="1" w:styleId="20">
    <w:name w:val="Заголовок 2 Знак"/>
    <w:basedOn w:val="a0"/>
    <w:link w:val="2"/>
    <w:uiPriority w:val="9"/>
    <w:semiHidden/>
    <w:rsid w:val="007E6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3433</Words>
  <Characters>19573</Characters>
  <Application>Microsoft Office Word</Application>
  <DocSecurity>0</DocSecurity>
  <Lines>163</Lines>
  <Paragraphs>45</Paragraphs>
  <ScaleCrop>false</ScaleCrop>
  <Company/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2019-04-02T07:03:00Z</dcterms:created>
  <dcterms:modified xsi:type="dcterms:W3CDTF">2019-04-02T07:04:00Z</dcterms:modified>
</cp:coreProperties>
</file>